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3CCDC0"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As a Commissioner of the Cook County Board of Review, I present this legal argument to contest the recent reclassification of properties categorized under Class 318 and 212 by the Cook County Assessor’s Office. The Assessor's attempt to reclassify these properties from residential to commercial for taxation purposes is in direct contradiction to the clear and explicit language of the Cook County Real Property Assessment Classification Ordinance, specifically Section 74-63.</w:t>
      </w:r>
    </w:p>
    <w:p w14:paraId="51AE2F97" w14:textId="77777777" w:rsidR="000504CB" w:rsidRPr="000504CB" w:rsidRDefault="000504CB" w:rsidP="000504C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04CB">
        <w:rPr>
          <w:rFonts w:ascii="Times New Roman" w:eastAsia="Times New Roman" w:hAnsi="Times New Roman" w:cs="Times New Roman"/>
          <w:b/>
          <w:bCs/>
          <w:kern w:val="0"/>
          <w:sz w:val="27"/>
          <w:szCs w:val="27"/>
          <w14:ligatures w14:val="none"/>
        </w:rPr>
        <w:t>1. Legal Framework: Cook County Real Property Assessment Classification Ordinance</w:t>
      </w:r>
    </w:p>
    <w:p w14:paraId="2264A2D4"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The Cook County Real Property Assessment Classification Ordinance, Section 74-63, clearly outlines the rules for the classification of properties. Specifically:</w:t>
      </w:r>
    </w:p>
    <w:p w14:paraId="09C752DF" w14:textId="7FA2C562" w:rsidR="000504CB" w:rsidRPr="000504CB" w:rsidRDefault="000504CB" w:rsidP="000504C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b/>
          <w:bCs/>
          <w:kern w:val="0"/>
          <w14:ligatures w14:val="none"/>
        </w:rPr>
        <w:t>Class 2</w:t>
      </w:r>
      <w:r w:rsidRPr="000504CB">
        <w:rPr>
          <w:rFonts w:ascii="Times New Roman" w:eastAsia="Times New Roman" w:hAnsi="Times New Roman" w:cs="Times New Roman"/>
          <w:kern w:val="0"/>
          <w14:ligatures w14:val="none"/>
        </w:rPr>
        <w:t xml:space="preserve"> includes real estate used for residential purposes, such as buildings with no more than six living units or buildings used for both commercial and residential purposes where the building measures less than 20,000 square feet of above-grade </w:t>
      </w:r>
      <w:r w:rsidR="00566BAC" w:rsidRPr="000504CB">
        <w:rPr>
          <w:rFonts w:ascii="Times New Roman" w:eastAsia="Times New Roman" w:hAnsi="Times New Roman" w:cs="Times New Roman"/>
          <w:kern w:val="0"/>
          <w14:ligatures w14:val="none"/>
        </w:rPr>
        <w:t>space​</w:t>
      </w:r>
      <w:r w:rsidR="00566BAC">
        <w:rPr>
          <w:rFonts w:ascii="Times New Roman" w:eastAsia="Times New Roman" w:hAnsi="Times New Roman" w:cs="Times New Roman"/>
          <w:kern w:val="0"/>
          <w14:ligatures w14:val="none"/>
        </w:rPr>
        <w:t>.</w:t>
      </w:r>
    </w:p>
    <w:p w14:paraId="3EC2DCCD" w14:textId="17162DCB" w:rsidR="000504CB" w:rsidRPr="000504CB" w:rsidRDefault="000504CB" w:rsidP="000504CB">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b/>
          <w:bCs/>
          <w:kern w:val="0"/>
          <w14:ligatures w14:val="none"/>
        </w:rPr>
        <w:t>Class 3</w:t>
      </w:r>
      <w:r w:rsidRPr="000504CB">
        <w:rPr>
          <w:rFonts w:ascii="Times New Roman" w:eastAsia="Times New Roman" w:hAnsi="Times New Roman" w:cs="Times New Roman"/>
          <w:kern w:val="0"/>
          <w14:ligatures w14:val="none"/>
        </w:rPr>
        <w:t xml:space="preserve"> applies to all other real estate used for residential purposes that do not fall under other classifications​</w:t>
      </w:r>
      <w:r w:rsidR="00566BAC">
        <w:rPr>
          <w:rFonts w:ascii="Times New Roman" w:eastAsia="Times New Roman" w:hAnsi="Times New Roman" w:cs="Times New Roman"/>
          <w:kern w:val="0"/>
          <w14:ligatures w14:val="none"/>
        </w:rPr>
        <w:t xml:space="preserve">. </w:t>
      </w:r>
    </w:p>
    <w:p w14:paraId="549D6942"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 xml:space="preserve">These provisions clearly indicate that properties like Class 212 and Class 318, which include mixed-use buildings with both residential and limited commercial space, should be taxed under </w:t>
      </w:r>
      <w:r w:rsidRPr="000504CB">
        <w:rPr>
          <w:rFonts w:ascii="Times New Roman" w:eastAsia="Times New Roman" w:hAnsi="Times New Roman" w:cs="Times New Roman"/>
          <w:b/>
          <w:bCs/>
          <w:kern w:val="0"/>
          <w14:ligatures w14:val="none"/>
        </w:rPr>
        <w:t>residential rates</w:t>
      </w:r>
      <w:r w:rsidRPr="000504CB">
        <w:rPr>
          <w:rFonts w:ascii="Times New Roman" w:eastAsia="Times New Roman" w:hAnsi="Times New Roman" w:cs="Times New Roman"/>
          <w:kern w:val="0"/>
          <w14:ligatures w14:val="none"/>
        </w:rPr>
        <w:t xml:space="preserve"> so long as they meet the size and usage thresholds defined in the ordinance. The ordinance leaves no room for administrative flexibility or reinterpretation by the Assessor’s Office regarding the nature of these classifications.</w:t>
      </w:r>
    </w:p>
    <w:p w14:paraId="35DBD913" w14:textId="77777777" w:rsidR="000504CB" w:rsidRPr="000504CB" w:rsidRDefault="000504CB" w:rsidP="000504C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04CB">
        <w:rPr>
          <w:rFonts w:ascii="Times New Roman" w:eastAsia="Times New Roman" w:hAnsi="Times New Roman" w:cs="Times New Roman"/>
          <w:b/>
          <w:bCs/>
          <w:kern w:val="0"/>
          <w:sz w:val="27"/>
          <w:szCs w:val="27"/>
          <w14:ligatures w14:val="none"/>
        </w:rPr>
        <w:t>2. Plain Language of the Ordinance: The Assessor’s Actions Violate Statutory Interpretation</w:t>
      </w:r>
    </w:p>
    <w:p w14:paraId="4E238E69"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The Assessor’s reclassification of these properties as commercial represents a clear misapplication of the ordinance. The language of the ordinance is clear: mixed-use properties that meet specific criteria—such as having fewer than six units or less than 20,000 square feet—must remain classified under residential rates, even if a portion of the property is used commercially.</w:t>
      </w:r>
    </w:p>
    <w:p w14:paraId="451B2A2F" w14:textId="77777777" w:rsidR="000504CB" w:rsidRPr="000504CB" w:rsidRDefault="000504CB" w:rsidP="000504CB">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b/>
          <w:bCs/>
          <w:kern w:val="0"/>
          <w14:ligatures w14:val="none"/>
        </w:rPr>
        <w:t>Class 2(c)</w:t>
      </w:r>
      <w:r w:rsidRPr="000504CB">
        <w:rPr>
          <w:rFonts w:ascii="Times New Roman" w:eastAsia="Times New Roman" w:hAnsi="Times New Roman" w:cs="Times New Roman"/>
          <w:kern w:val="0"/>
          <w14:ligatures w14:val="none"/>
        </w:rPr>
        <w:t xml:space="preserve"> explicitly includes properties that are improved with both commercial and residential uses, provided they meet the size and unit requirements. These properties should continue to benefit from the </w:t>
      </w:r>
      <w:r w:rsidRPr="000504CB">
        <w:rPr>
          <w:rFonts w:ascii="Times New Roman" w:eastAsia="Times New Roman" w:hAnsi="Times New Roman" w:cs="Times New Roman"/>
          <w:b/>
          <w:bCs/>
          <w:kern w:val="0"/>
          <w14:ligatures w14:val="none"/>
        </w:rPr>
        <w:t>residential rate</w:t>
      </w:r>
      <w:r w:rsidRPr="000504CB">
        <w:rPr>
          <w:rFonts w:ascii="Times New Roman" w:eastAsia="Times New Roman" w:hAnsi="Times New Roman" w:cs="Times New Roman"/>
          <w:kern w:val="0"/>
          <w14:ligatures w14:val="none"/>
        </w:rPr>
        <w:t xml:space="preserve"> of 10% under the ordinance.</w:t>
      </w:r>
    </w:p>
    <w:p w14:paraId="3E2E3753" w14:textId="77777777" w:rsidR="000504CB" w:rsidRPr="000504CB" w:rsidRDefault="000504CB" w:rsidP="000504C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04CB">
        <w:rPr>
          <w:rFonts w:ascii="Times New Roman" w:eastAsia="Times New Roman" w:hAnsi="Times New Roman" w:cs="Times New Roman"/>
          <w:b/>
          <w:bCs/>
          <w:kern w:val="0"/>
          <w:sz w:val="27"/>
          <w:szCs w:val="27"/>
          <w14:ligatures w14:val="none"/>
        </w:rPr>
        <w:t>3. Consistency and Legislative Intent</w:t>
      </w:r>
    </w:p>
    <w:p w14:paraId="0E0D345C"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 xml:space="preserve">Historically, the Cook County Assessor’s Office has adhered to these provisions, consistently classifying these properties under </w:t>
      </w:r>
      <w:r w:rsidRPr="000504CB">
        <w:rPr>
          <w:rFonts w:ascii="Times New Roman" w:eastAsia="Times New Roman" w:hAnsi="Times New Roman" w:cs="Times New Roman"/>
          <w:b/>
          <w:bCs/>
          <w:kern w:val="0"/>
          <w14:ligatures w14:val="none"/>
        </w:rPr>
        <w:t>residential tax rates</w:t>
      </w:r>
      <w:r w:rsidRPr="000504CB">
        <w:rPr>
          <w:rFonts w:ascii="Times New Roman" w:eastAsia="Times New Roman" w:hAnsi="Times New Roman" w:cs="Times New Roman"/>
          <w:kern w:val="0"/>
          <w14:ligatures w14:val="none"/>
        </w:rPr>
        <w:t>. The current reclassification represents a significant and unjustified departure from this long-standing practice.</w:t>
      </w:r>
    </w:p>
    <w:p w14:paraId="2B9E72A8"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 xml:space="preserve">The </w:t>
      </w:r>
      <w:r w:rsidRPr="000504CB">
        <w:rPr>
          <w:rFonts w:ascii="Times New Roman" w:eastAsia="Times New Roman" w:hAnsi="Times New Roman" w:cs="Times New Roman"/>
          <w:b/>
          <w:bCs/>
          <w:kern w:val="0"/>
          <w14:ligatures w14:val="none"/>
        </w:rPr>
        <w:t>legislative intent</w:t>
      </w:r>
      <w:r w:rsidRPr="000504CB">
        <w:rPr>
          <w:rFonts w:ascii="Times New Roman" w:eastAsia="Times New Roman" w:hAnsi="Times New Roman" w:cs="Times New Roman"/>
          <w:kern w:val="0"/>
          <w14:ligatures w14:val="none"/>
        </w:rPr>
        <w:t xml:space="preserve"> behind the ordinance is clear: mixed-use properties with a primary residential function should not be penalized with higher commercial tax rates. These </w:t>
      </w:r>
      <w:r w:rsidRPr="000504CB">
        <w:rPr>
          <w:rFonts w:ascii="Times New Roman" w:eastAsia="Times New Roman" w:hAnsi="Times New Roman" w:cs="Times New Roman"/>
          <w:kern w:val="0"/>
          <w14:ligatures w14:val="none"/>
        </w:rPr>
        <w:lastRenderedPageBreak/>
        <w:t>classifications were designed to provide relief to property owners of small mixed-use buildings, encouraging residential and commercial coexistence in these structures.</w:t>
      </w:r>
    </w:p>
    <w:p w14:paraId="78A16A93" w14:textId="77777777" w:rsidR="000504CB" w:rsidRPr="000504CB" w:rsidRDefault="000504CB" w:rsidP="000504C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04CB">
        <w:rPr>
          <w:rFonts w:ascii="Times New Roman" w:eastAsia="Times New Roman" w:hAnsi="Times New Roman" w:cs="Times New Roman"/>
          <w:b/>
          <w:bCs/>
          <w:kern w:val="0"/>
          <w:sz w:val="27"/>
          <w:szCs w:val="27"/>
          <w14:ligatures w14:val="none"/>
        </w:rPr>
        <w:t>4. Administrative Overreach</w:t>
      </w:r>
    </w:p>
    <w:p w14:paraId="6382778C"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 xml:space="preserve">The Assessor's attempt to reclassify these properties without proper statutory backing constitutes </w:t>
      </w:r>
      <w:r w:rsidRPr="000504CB">
        <w:rPr>
          <w:rFonts w:ascii="Times New Roman" w:eastAsia="Times New Roman" w:hAnsi="Times New Roman" w:cs="Times New Roman"/>
          <w:b/>
          <w:bCs/>
          <w:kern w:val="0"/>
          <w14:ligatures w14:val="none"/>
        </w:rPr>
        <w:t>administrative overreach</w:t>
      </w:r>
      <w:r w:rsidRPr="000504CB">
        <w:rPr>
          <w:rFonts w:ascii="Times New Roman" w:eastAsia="Times New Roman" w:hAnsi="Times New Roman" w:cs="Times New Roman"/>
          <w:kern w:val="0"/>
          <w14:ligatures w14:val="none"/>
        </w:rPr>
        <w:t>. The Assessor's Office does not have the authority to unilaterally reclassify properties in contradiction to the ordinance. Such actions violate the principles of administrative law and constitute an arbitrary use of administrative discretion.</w:t>
      </w:r>
    </w:p>
    <w:p w14:paraId="1F311026"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If the Assessor believes a change in classification rules is necessary, the proper process is through legislative action, not through administrative reinterpretation of the ordinance.</w:t>
      </w:r>
    </w:p>
    <w:p w14:paraId="384556ED" w14:textId="77777777" w:rsidR="000504CB" w:rsidRPr="000504CB" w:rsidRDefault="000504CB" w:rsidP="000504C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04CB">
        <w:rPr>
          <w:rFonts w:ascii="Times New Roman" w:eastAsia="Times New Roman" w:hAnsi="Times New Roman" w:cs="Times New Roman"/>
          <w:b/>
          <w:bCs/>
          <w:kern w:val="0"/>
          <w:sz w:val="27"/>
          <w:szCs w:val="27"/>
          <w14:ligatures w14:val="none"/>
        </w:rPr>
        <w:t>5. Financial Impact on Property Owners</w:t>
      </w:r>
    </w:p>
    <w:p w14:paraId="572482C2"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 xml:space="preserve">The reclassification of these properties to commercial would significantly increase the tax burden on property owners, raising the assessment rate from </w:t>
      </w:r>
      <w:r w:rsidRPr="000504CB">
        <w:rPr>
          <w:rFonts w:ascii="Times New Roman" w:eastAsia="Times New Roman" w:hAnsi="Times New Roman" w:cs="Times New Roman"/>
          <w:b/>
          <w:bCs/>
          <w:kern w:val="0"/>
          <w14:ligatures w14:val="none"/>
        </w:rPr>
        <w:t>10% to 25%</w:t>
      </w:r>
      <w:r w:rsidRPr="000504CB">
        <w:rPr>
          <w:rFonts w:ascii="Times New Roman" w:eastAsia="Times New Roman" w:hAnsi="Times New Roman" w:cs="Times New Roman"/>
          <w:kern w:val="0"/>
          <w14:ligatures w14:val="none"/>
        </w:rPr>
        <w:t xml:space="preserve">, thereby imposing a substantial financial strain on small mixed-use property owners. This reclassification is not only legally improper but would also </w:t>
      </w:r>
      <w:r w:rsidRPr="000504CB">
        <w:rPr>
          <w:rFonts w:ascii="Times New Roman" w:eastAsia="Times New Roman" w:hAnsi="Times New Roman" w:cs="Times New Roman"/>
          <w:b/>
          <w:bCs/>
          <w:kern w:val="0"/>
          <w14:ligatures w14:val="none"/>
        </w:rPr>
        <w:t>disrupt the economic stability</w:t>
      </w:r>
      <w:r w:rsidRPr="000504CB">
        <w:rPr>
          <w:rFonts w:ascii="Times New Roman" w:eastAsia="Times New Roman" w:hAnsi="Times New Roman" w:cs="Times New Roman"/>
          <w:kern w:val="0"/>
          <w14:ligatures w14:val="none"/>
        </w:rPr>
        <w:t xml:space="preserve"> of small residential-commercial buildings across the county.</w:t>
      </w:r>
    </w:p>
    <w:p w14:paraId="2EB94350"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The ordinance's protective structure ensures that properties like Class 318 and Class 212 remain viable through appropriate taxation. By shifting to commercial rates, the Assessor is undermining the financial feasibility of these properties in a manner contrary to the ordinance's purpose.</w:t>
      </w:r>
    </w:p>
    <w:p w14:paraId="1458310D" w14:textId="77777777" w:rsidR="000504CB" w:rsidRPr="000504CB" w:rsidRDefault="000504CB" w:rsidP="000504CB">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504CB">
        <w:rPr>
          <w:rFonts w:ascii="Times New Roman" w:eastAsia="Times New Roman" w:hAnsi="Times New Roman" w:cs="Times New Roman"/>
          <w:b/>
          <w:bCs/>
          <w:kern w:val="0"/>
          <w:sz w:val="27"/>
          <w:szCs w:val="27"/>
          <w14:ligatures w14:val="none"/>
        </w:rPr>
        <w:t>6. Conclusion and Remedy Sought</w:t>
      </w:r>
    </w:p>
    <w:p w14:paraId="165E8329"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 xml:space="preserve">In conclusion, based on the clear language of the Cook County Real Property Assessment Classification Ordinance, </w:t>
      </w:r>
      <w:proofErr w:type="gramStart"/>
      <w:r w:rsidRPr="000504CB">
        <w:rPr>
          <w:rFonts w:ascii="Times New Roman" w:eastAsia="Times New Roman" w:hAnsi="Times New Roman" w:cs="Times New Roman"/>
          <w:kern w:val="0"/>
          <w14:ligatures w14:val="none"/>
        </w:rPr>
        <w:t>Section</w:t>
      </w:r>
      <w:proofErr w:type="gramEnd"/>
      <w:r w:rsidRPr="000504CB">
        <w:rPr>
          <w:rFonts w:ascii="Times New Roman" w:eastAsia="Times New Roman" w:hAnsi="Times New Roman" w:cs="Times New Roman"/>
          <w:kern w:val="0"/>
          <w14:ligatures w14:val="none"/>
        </w:rPr>
        <w:t xml:space="preserve"> 74-63, the Assessor’s reclassification of properties under Class 318 and Class 212 is both improper and illegal. These properties must remain classified as residential under the </w:t>
      </w:r>
      <w:r w:rsidRPr="000504CB">
        <w:rPr>
          <w:rFonts w:ascii="Times New Roman" w:eastAsia="Times New Roman" w:hAnsi="Times New Roman" w:cs="Times New Roman"/>
          <w:b/>
          <w:bCs/>
          <w:kern w:val="0"/>
          <w14:ligatures w14:val="none"/>
        </w:rPr>
        <w:t>10% tax rate</w:t>
      </w:r>
      <w:r w:rsidRPr="000504CB">
        <w:rPr>
          <w:rFonts w:ascii="Times New Roman" w:eastAsia="Times New Roman" w:hAnsi="Times New Roman" w:cs="Times New Roman"/>
          <w:kern w:val="0"/>
          <w14:ligatures w14:val="none"/>
        </w:rPr>
        <w:t>, as clearly defined by the ordinance.</w:t>
      </w:r>
    </w:p>
    <w:p w14:paraId="42DA81A7"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I urge the Cook County Board of Review to overturn the Assessor’s decision, restore the proper residential classification for these properties, and ensure that property owners are not subjected to unfair and unlawful tax increases. The Assessor’s actions must be deemed invalid, and the ordinance’s plain meaning should be upheld.</w:t>
      </w:r>
    </w:p>
    <w:p w14:paraId="53ACC1A1" w14:textId="77777777" w:rsidR="000504CB" w:rsidRPr="000504CB" w:rsidRDefault="000504CB" w:rsidP="000504CB">
      <w:pPr>
        <w:spacing w:before="100" w:beforeAutospacing="1" w:after="100" w:afterAutospacing="1" w:line="240" w:lineRule="auto"/>
        <w:rPr>
          <w:rFonts w:ascii="Times New Roman" w:eastAsia="Times New Roman" w:hAnsi="Times New Roman" w:cs="Times New Roman"/>
          <w:kern w:val="0"/>
          <w14:ligatures w14:val="none"/>
        </w:rPr>
      </w:pPr>
      <w:r w:rsidRPr="000504CB">
        <w:rPr>
          <w:rFonts w:ascii="Times New Roman" w:eastAsia="Times New Roman" w:hAnsi="Times New Roman" w:cs="Times New Roman"/>
          <w:kern w:val="0"/>
          <w14:ligatures w14:val="none"/>
        </w:rPr>
        <w:t xml:space="preserve">This legal argument defends not only the integrity of the ordinance but also the rights of property owners to benefit from the </w:t>
      </w:r>
      <w:r w:rsidRPr="000504CB">
        <w:rPr>
          <w:rFonts w:ascii="Times New Roman" w:eastAsia="Times New Roman" w:hAnsi="Times New Roman" w:cs="Times New Roman"/>
          <w:b/>
          <w:bCs/>
          <w:kern w:val="0"/>
          <w14:ligatures w14:val="none"/>
        </w:rPr>
        <w:t>residential tax rates</w:t>
      </w:r>
      <w:r w:rsidRPr="000504CB">
        <w:rPr>
          <w:rFonts w:ascii="Times New Roman" w:eastAsia="Times New Roman" w:hAnsi="Times New Roman" w:cs="Times New Roman"/>
          <w:kern w:val="0"/>
          <w14:ligatures w14:val="none"/>
        </w:rPr>
        <w:t xml:space="preserve"> that the law guarantees.</w:t>
      </w:r>
    </w:p>
    <w:p w14:paraId="258D0ECA" w14:textId="77777777" w:rsidR="000504CB" w:rsidRPr="000504CB" w:rsidRDefault="000C78D1" w:rsidP="000504CB">
      <w:pPr>
        <w:spacing w:after="0" w:line="240" w:lineRule="auto"/>
        <w:rPr>
          <w:rFonts w:ascii="Times New Roman" w:eastAsia="Times New Roman" w:hAnsi="Times New Roman" w:cs="Times New Roman"/>
          <w:kern w:val="0"/>
          <w14:ligatures w14:val="none"/>
        </w:rPr>
      </w:pPr>
      <w:r w:rsidRPr="000C78D1">
        <w:rPr>
          <w:rFonts w:ascii="Times New Roman" w:eastAsia="Times New Roman" w:hAnsi="Times New Roman" w:cs="Times New Roman"/>
          <w:noProof/>
          <w:kern w:val="0"/>
        </w:rPr>
        <w:pict w14:anchorId="15651755">
          <v:rect id="_x0000_i1025" alt="" style="width:468pt;height:.05pt;mso-width-percent:0;mso-height-percent:0;mso-width-percent:0;mso-height-percent:0" o:hralign="center" o:hrstd="t" o:hr="t" fillcolor="#a0a0a0" stroked="f"/>
        </w:pict>
      </w:r>
    </w:p>
    <w:p w14:paraId="3AE96A4D" w14:textId="77777777" w:rsidR="00535896" w:rsidRDefault="00535896"/>
    <w:sectPr w:rsidR="005358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4D2F08"/>
    <w:multiLevelType w:val="multilevel"/>
    <w:tmpl w:val="0754A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B06EC1"/>
    <w:multiLevelType w:val="multilevel"/>
    <w:tmpl w:val="58A8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8A7C9C"/>
    <w:multiLevelType w:val="multilevel"/>
    <w:tmpl w:val="7610C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A111A8"/>
    <w:multiLevelType w:val="multilevel"/>
    <w:tmpl w:val="13CCE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9330528">
    <w:abstractNumId w:val="2"/>
  </w:num>
  <w:num w:numId="2" w16cid:durableId="1259873636">
    <w:abstractNumId w:val="3"/>
  </w:num>
  <w:num w:numId="3" w16cid:durableId="73287822">
    <w:abstractNumId w:val="1"/>
  </w:num>
  <w:num w:numId="4" w16cid:durableId="1879582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896"/>
    <w:rsid w:val="000504CB"/>
    <w:rsid w:val="000C78D1"/>
    <w:rsid w:val="0045147F"/>
    <w:rsid w:val="00535896"/>
    <w:rsid w:val="00566B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A475F"/>
  <w15:chartTrackingRefBased/>
  <w15:docId w15:val="{49546346-FB0A-AB46-BE5C-AEEE444C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58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58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358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58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58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58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58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58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58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8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58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358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58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58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58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58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58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5896"/>
    <w:rPr>
      <w:rFonts w:eastAsiaTheme="majorEastAsia" w:cstheme="majorBidi"/>
      <w:color w:val="272727" w:themeColor="text1" w:themeTint="D8"/>
    </w:rPr>
  </w:style>
  <w:style w:type="paragraph" w:styleId="Title">
    <w:name w:val="Title"/>
    <w:basedOn w:val="Normal"/>
    <w:next w:val="Normal"/>
    <w:link w:val="TitleChar"/>
    <w:uiPriority w:val="10"/>
    <w:qFormat/>
    <w:rsid w:val="005358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58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58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58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5896"/>
    <w:pPr>
      <w:spacing w:before="160"/>
      <w:jc w:val="center"/>
    </w:pPr>
    <w:rPr>
      <w:i/>
      <w:iCs/>
      <w:color w:val="404040" w:themeColor="text1" w:themeTint="BF"/>
    </w:rPr>
  </w:style>
  <w:style w:type="character" w:customStyle="1" w:styleId="QuoteChar">
    <w:name w:val="Quote Char"/>
    <w:basedOn w:val="DefaultParagraphFont"/>
    <w:link w:val="Quote"/>
    <w:uiPriority w:val="29"/>
    <w:rsid w:val="00535896"/>
    <w:rPr>
      <w:i/>
      <w:iCs/>
      <w:color w:val="404040" w:themeColor="text1" w:themeTint="BF"/>
    </w:rPr>
  </w:style>
  <w:style w:type="paragraph" w:styleId="ListParagraph">
    <w:name w:val="List Paragraph"/>
    <w:basedOn w:val="Normal"/>
    <w:uiPriority w:val="34"/>
    <w:qFormat/>
    <w:rsid w:val="00535896"/>
    <w:pPr>
      <w:ind w:left="720"/>
      <w:contextualSpacing/>
    </w:pPr>
  </w:style>
  <w:style w:type="character" w:styleId="IntenseEmphasis">
    <w:name w:val="Intense Emphasis"/>
    <w:basedOn w:val="DefaultParagraphFont"/>
    <w:uiPriority w:val="21"/>
    <w:qFormat/>
    <w:rsid w:val="00535896"/>
    <w:rPr>
      <w:i/>
      <w:iCs/>
      <w:color w:val="0F4761" w:themeColor="accent1" w:themeShade="BF"/>
    </w:rPr>
  </w:style>
  <w:style w:type="paragraph" w:styleId="IntenseQuote">
    <w:name w:val="Intense Quote"/>
    <w:basedOn w:val="Normal"/>
    <w:next w:val="Normal"/>
    <w:link w:val="IntenseQuoteChar"/>
    <w:uiPriority w:val="30"/>
    <w:qFormat/>
    <w:rsid w:val="005358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5896"/>
    <w:rPr>
      <w:i/>
      <w:iCs/>
      <w:color w:val="0F4761" w:themeColor="accent1" w:themeShade="BF"/>
    </w:rPr>
  </w:style>
  <w:style w:type="character" w:styleId="IntenseReference">
    <w:name w:val="Intense Reference"/>
    <w:basedOn w:val="DefaultParagraphFont"/>
    <w:uiPriority w:val="32"/>
    <w:qFormat/>
    <w:rsid w:val="00535896"/>
    <w:rPr>
      <w:b/>
      <w:bCs/>
      <w:smallCaps/>
      <w:color w:val="0F4761" w:themeColor="accent1" w:themeShade="BF"/>
      <w:spacing w:val="5"/>
    </w:rPr>
  </w:style>
  <w:style w:type="paragraph" w:styleId="NormalWeb">
    <w:name w:val="Normal (Web)"/>
    <w:basedOn w:val="Normal"/>
    <w:uiPriority w:val="99"/>
    <w:semiHidden/>
    <w:unhideWhenUsed/>
    <w:rsid w:val="00535896"/>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35896"/>
    <w:rPr>
      <w:b/>
      <w:bCs/>
    </w:rPr>
  </w:style>
  <w:style w:type="character" w:customStyle="1" w:styleId="whitespace-nowrap">
    <w:name w:val="whitespace-nowrap"/>
    <w:basedOn w:val="DefaultParagraphFont"/>
    <w:rsid w:val="00535896"/>
  </w:style>
  <w:style w:type="character" w:customStyle="1" w:styleId="whitespace-normal">
    <w:name w:val="whitespace-normal"/>
    <w:basedOn w:val="DefaultParagraphFont"/>
    <w:rsid w:val="00535896"/>
  </w:style>
  <w:style w:type="character" w:customStyle="1" w:styleId="truncate">
    <w:name w:val="truncate"/>
    <w:basedOn w:val="DefaultParagraphFont"/>
    <w:rsid w:val="00535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7259082">
      <w:bodyDiv w:val="1"/>
      <w:marLeft w:val="0"/>
      <w:marRight w:val="0"/>
      <w:marTop w:val="0"/>
      <w:marBottom w:val="0"/>
      <w:divBdr>
        <w:top w:val="none" w:sz="0" w:space="0" w:color="auto"/>
        <w:left w:val="none" w:sz="0" w:space="0" w:color="auto"/>
        <w:bottom w:val="none" w:sz="0" w:space="0" w:color="auto"/>
        <w:right w:val="none" w:sz="0" w:space="0" w:color="auto"/>
      </w:divBdr>
    </w:div>
    <w:div w:id="2054498458">
      <w:bodyDiv w:val="1"/>
      <w:marLeft w:val="0"/>
      <w:marRight w:val="0"/>
      <w:marTop w:val="0"/>
      <w:marBottom w:val="0"/>
      <w:divBdr>
        <w:top w:val="none" w:sz="0" w:space="0" w:color="auto"/>
        <w:left w:val="none" w:sz="0" w:space="0" w:color="auto"/>
        <w:bottom w:val="none" w:sz="0" w:space="0" w:color="auto"/>
        <w:right w:val="none" w:sz="0" w:space="0" w:color="auto"/>
      </w:divBdr>
      <w:divsChild>
        <w:div w:id="1175653781">
          <w:marLeft w:val="0"/>
          <w:marRight w:val="0"/>
          <w:marTop w:val="0"/>
          <w:marBottom w:val="0"/>
          <w:divBdr>
            <w:top w:val="none" w:sz="0" w:space="0" w:color="auto"/>
            <w:left w:val="none" w:sz="0" w:space="0" w:color="auto"/>
            <w:bottom w:val="none" w:sz="0" w:space="0" w:color="auto"/>
            <w:right w:val="none" w:sz="0" w:space="0" w:color="auto"/>
          </w:divBdr>
        </w:div>
        <w:div w:id="354431243">
          <w:marLeft w:val="0"/>
          <w:marRight w:val="0"/>
          <w:marTop w:val="0"/>
          <w:marBottom w:val="0"/>
          <w:divBdr>
            <w:top w:val="none" w:sz="0" w:space="0" w:color="auto"/>
            <w:left w:val="none" w:sz="0" w:space="0" w:color="auto"/>
            <w:bottom w:val="none" w:sz="0" w:space="0" w:color="auto"/>
            <w:right w:val="none" w:sz="0" w:space="0" w:color="auto"/>
          </w:divBdr>
        </w:div>
        <w:div w:id="256208736">
          <w:marLeft w:val="0"/>
          <w:marRight w:val="0"/>
          <w:marTop w:val="0"/>
          <w:marBottom w:val="0"/>
          <w:divBdr>
            <w:top w:val="none" w:sz="0" w:space="0" w:color="auto"/>
            <w:left w:val="none" w:sz="0" w:space="0" w:color="auto"/>
            <w:bottom w:val="none" w:sz="0" w:space="0" w:color="auto"/>
            <w:right w:val="none" w:sz="0" w:space="0" w:color="auto"/>
          </w:divBdr>
        </w:div>
        <w:div w:id="8787788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762</Words>
  <Characters>4345</Characters>
  <Application>Microsoft Office Word</Application>
  <DocSecurity>0</DocSecurity>
  <Lines>36</Lines>
  <Paragraphs>10</Paragraphs>
  <ScaleCrop>false</ScaleCrop>
  <Company/>
  <LinksUpToDate>false</LinksUpToDate>
  <CharactersWithSpaces>5097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Cardenas</dc:creator>
  <cp:keywords/>
  <dc:description/>
  <cp:lastModifiedBy>George Cardenas</cp:lastModifiedBy>
  <cp:revision>3</cp:revision>
  <dcterms:created xsi:type="dcterms:W3CDTF">2024-09-04T23:52:00Z</dcterms:created>
  <dcterms:modified xsi:type="dcterms:W3CDTF">2024-09-05T12:10:00Z</dcterms:modified>
</cp:coreProperties>
</file>